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121A0E" w:rsidRPr="00292A2E">
        <w:rPr>
          <w:rFonts w:ascii="Verdana" w:hAnsi="Verdana" w:cs="Arial"/>
          <w:b/>
          <w:color w:val="000000" w:themeColor="text1"/>
          <w:sz w:val="18"/>
          <w:szCs w:val="18"/>
        </w:rPr>
        <w:t>Pravidelné školení jeřábníků, vazačů a kurzy nových jeřábníků, vazačů břemen a obsluhovatelů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21A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21A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A44F36">
            <w:rPr>
              <w:rFonts w:ascii="Verdana" w:eastAsia="Calibri" w:hAnsi="Verdana"/>
              <w:sz w:val="18"/>
            </w:rPr>
            <w:t>c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77DC0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1A0E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6F6FEA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44F36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1601D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24ABF09-0024-40BF-8BFA-BDF34EA3E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FF7A4-AD9B-4589-B52B-E11ABDF519AC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C0ED10B-2816-475B-A59F-4499AC8AA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6</cp:revision>
  <cp:lastPrinted>2018-03-26T11:24:00Z</cp:lastPrinted>
  <dcterms:created xsi:type="dcterms:W3CDTF">2020-10-27T12:02:00Z</dcterms:created>
  <dcterms:modified xsi:type="dcterms:W3CDTF">2020-12-02T09:16:00Z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